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AE" w:rsidRPr="00AF76DD" w:rsidRDefault="007028AE" w:rsidP="00225E22">
      <w:pPr>
        <w:spacing w:after="0" w:line="240" w:lineRule="auto"/>
        <w:jc w:val="right"/>
        <w:rPr>
          <w:rFonts w:ascii="Sylfaen" w:hAnsi="Sylfaen"/>
          <w:b/>
          <w:i/>
          <w:sz w:val="20"/>
          <w:szCs w:val="20"/>
          <w:u w:val="single"/>
          <w:lang w:val="ka-GE"/>
        </w:rPr>
      </w:pPr>
      <w:r w:rsidRPr="00AF76DD">
        <w:rPr>
          <w:rFonts w:ascii="Sylfaen" w:hAnsi="Sylfaen"/>
          <w:b/>
          <w:i/>
          <w:sz w:val="20"/>
          <w:szCs w:val="20"/>
          <w:u w:val="single"/>
          <w:lang w:val="ka-GE"/>
        </w:rPr>
        <w:t>პროექტი</w:t>
      </w:r>
    </w:p>
    <w:p w:rsidR="00AF76DD" w:rsidRDefault="00AF76DD" w:rsidP="00225E22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7028AE" w:rsidRPr="007028AE" w:rsidRDefault="007028AE" w:rsidP="00225E22">
      <w:pPr>
        <w:spacing w:after="0" w:line="240" w:lineRule="auto"/>
        <w:jc w:val="center"/>
        <w:rPr>
          <w:rFonts w:ascii="Sylfaen" w:hAnsi="Sylfaen"/>
          <w:b/>
        </w:rPr>
      </w:pPr>
      <w:r w:rsidRPr="007028AE">
        <w:rPr>
          <w:rFonts w:ascii="Sylfaen" w:hAnsi="Sylfaen"/>
          <w:b/>
        </w:rPr>
        <w:t>საქართველოს იუსტიციის უმაღლესი საბჭოს</w:t>
      </w:r>
    </w:p>
    <w:p w:rsidR="007028AE" w:rsidRPr="00225E22" w:rsidRDefault="007028AE" w:rsidP="00225E22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7028AE">
        <w:rPr>
          <w:rFonts w:ascii="Sylfaen" w:hAnsi="Sylfaen"/>
          <w:b/>
        </w:rPr>
        <w:t>დ</w:t>
      </w:r>
      <w:r w:rsidR="00225E22">
        <w:rPr>
          <w:rFonts w:ascii="Sylfaen" w:hAnsi="Sylfaen"/>
          <w:b/>
          <w:lang w:val="ka-GE"/>
        </w:rPr>
        <w:t xml:space="preserve"> </w:t>
      </w:r>
      <w:r w:rsidRPr="007028AE">
        <w:rPr>
          <w:rFonts w:ascii="Sylfaen" w:hAnsi="Sylfaen"/>
          <w:b/>
        </w:rPr>
        <w:t>ა</w:t>
      </w:r>
      <w:r w:rsidR="00225E22">
        <w:rPr>
          <w:rFonts w:ascii="Sylfaen" w:hAnsi="Sylfaen"/>
          <w:b/>
          <w:lang w:val="ka-GE"/>
        </w:rPr>
        <w:t xml:space="preserve"> </w:t>
      </w:r>
      <w:r w:rsidRPr="007028AE">
        <w:rPr>
          <w:rFonts w:ascii="Sylfaen" w:hAnsi="Sylfaen"/>
          <w:b/>
        </w:rPr>
        <w:t>დ</w:t>
      </w:r>
      <w:r w:rsidR="00225E22">
        <w:rPr>
          <w:rFonts w:ascii="Sylfaen" w:hAnsi="Sylfaen"/>
          <w:b/>
          <w:lang w:val="ka-GE"/>
        </w:rPr>
        <w:t xml:space="preserve"> </w:t>
      </w:r>
      <w:r w:rsidRPr="007028AE">
        <w:rPr>
          <w:rFonts w:ascii="Sylfaen" w:hAnsi="Sylfaen"/>
          <w:b/>
        </w:rPr>
        <w:t>გ</w:t>
      </w:r>
      <w:r w:rsidR="00225E22">
        <w:rPr>
          <w:rFonts w:ascii="Sylfaen" w:hAnsi="Sylfaen"/>
          <w:b/>
          <w:lang w:val="ka-GE"/>
        </w:rPr>
        <w:t xml:space="preserve"> </w:t>
      </w:r>
      <w:r w:rsidRPr="007028AE">
        <w:rPr>
          <w:rFonts w:ascii="Sylfaen" w:hAnsi="Sylfaen"/>
          <w:b/>
        </w:rPr>
        <w:t>ე</w:t>
      </w:r>
      <w:r w:rsidR="00225E22">
        <w:rPr>
          <w:rFonts w:ascii="Sylfaen" w:hAnsi="Sylfaen"/>
          <w:b/>
          <w:lang w:val="ka-GE"/>
        </w:rPr>
        <w:t xml:space="preserve"> </w:t>
      </w:r>
      <w:r w:rsidRPr="007028AE">
        <w:rPr>
          <w:rFonts w:ascii="Sylfaen" w:hAnsi="Sylfaen"/>
          <w:b/>
        </w:rPr>
        <w:t>ნ</w:t>
      </w:r>
      <w:r w:rsidR="00225E22">
        <w:rPr>
          <w:rFonts w:ascii="Sylfaen" w:hAnsi="Sylfaen"/>
          <w:b/>
          <w:lang w:val="ka-GE"/>
        </w:rPr>
        <w:t xml:space="preserve"> </w:t>
      </w:r>
      <w:r w:rsidRPr="007028AE">
        <w:rPr>
          <w:rFonts w:ascii="Sylfaen" w:hAnsi="Sylfaen"/>
          <w:b/>
        </w:rPr>
        <w:t>ი</w:t>
      </w:r>
      <w:r w:rsidR="00225E22">
        <w:rPr>
          <w:rFonts w:ascii="Sylfaen" w:hAnsi="Sylfaen"/>
          <w:b/>
          <w:lang w:val="ka-GE"/>
        </w:rPr>
        <w:t xml:space="preserve"> </w:t>
      </w:r>
      <w:r w:rsidRPr="007028AE">
        <w:rPr>
          <w:rFonts w:ascii="Sylfaen" w:hAnsi="Sylfaen"/>
          <w:b/>
        </w:rPr>
        <w:t>ლ</w:t>
      </w:r>
      <w:r w:rsidR="00225E22">
        <w:rPr>
          <w:rFonts w:ascii="Sylfaen" w:hAnsi="Sylfaen"/>
          <w:b/>
          <w:lang w:val="ka-GE"/>
        </w:rPr>
        <w:t xml:space="preserve"> </w:t>
      </w:r>
      <w:r w:rsidRPr="007028AE">
        <w:rPr>
          <w:rFonts w:ascii="Sylfaen" w:hAnsi="Sylfaen"/>
          <w:b/>
        </w:rPr>
        <w:t>ე</w:t>
      </w:r>
      <w:r w:rsidR="00225E22">
        <w:rPr>
          <w:rFonts w:ascii="Sylfaen" w:hAnsi="Sylfaen"/>
          <w:b/>
          <w:lang w:val="ka-GE"/>
        </w:rPr>
        <w:t xml:space="preserve"> </w:t>
      </w:r>
      <w:r w:rsidRPr="007028AE">
        <w:rPr>
          <w:rFonts w:ascii="Sylfaen" w:hAnsi="Sylfaen"/>
          <w:b/>
        </w:rPr>
        <w:t>ბ</w:t>
      </w:r>
      <w:r w:rsidR="00225E22">
        <w:rPr>
          <w:rFonts w:ascii="Sylfaen" w:hAnsi="Sylfaen"/>
          <w:b/>
          <w:lang w:val="ka-GE"/>
        </w:rPr>
        <w:t xml:space="preserve"> </w:t>
      </w:r>
      <w:r w:rsidRPr="007028AE">
        <w:rPr>
          <w:rFonts w:ascii="Sylfaen" w:hAnsi="Sylfaen"/>
          <w:b/>
        </w:rPr>
        <w:t>ა</w:t>
      </w:r>
      <w:r w:rsidR="00225E22">
        <w:rPr>
          <w:rFonts w:ascii="Sylfaen" w:hAnsi="Sylfaen"/>
          <w:b/>
          <w:lang w:val="ka-GE"/>
        </w:rPr>
        <w:t xml:space="preserve"> </w:t>
      </w:r>
    </w:p>
    <w:p w:rsidR="007028AE" w:rsidRPr="00127E14" w:rsidRDefault="007028AE" w:rsidP="00225E22">
      <w:pPr>
        <w:spacing w:after="0" w:line="240" w:lineRule="auto"/>
        <w:jc w:val="center"/>
        <w:rPr>
          <w:rFonts w:ascii="Sylfaen" w:hAnsi="Sylfaen"/>
        </w:rPr>
      </w:pPr>
    </w:p>
    <w:p w:rsidR="00225E22" w:rsidRDefault="007028AE" w:rsidP="00225E22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127E14">
        <w:rPr>
          <w:rFonts w:ascii="Sylfaen" w:hAnsi="Sylfaen"/>
          <w:b/>
        </w:rPr>
        <w:t xml:space="preserve">„საქართველოს იუსტიციის უმაღლესი საბჭოს ზოგიერთი გადაწყვეტილების </w:t>
      </w:r>
    </w:p>
    <w:p w:rsidR="007028AE" w:rsidRPr="00127E14" w:rsidRDefault="007028AE" w:rsidP="00225E22">
      <w:pPr>
        <w:spacing w:after="0" w:line="240" w:lineRule="auto"/>
        <w:jc w:val="center"/>
        <w:rPr>
          <w:rFonts w:ascii="Sylfaen" w:hAnsi="Sylfaen"/>
          <w:b/>
        </w:rPr>
      </w:pPr>
      <w:r w:rsidRPr="00127E14">
        <w:rPr>
          <w:rFonts w:ascii="Sylfaen" w:hAnsi="Sylfaen"/>
          <w:b/>
        </w:rPr>
        <w:t>ნორმატიული აქტებისათვის მიკუთვნების თაობაზე“ საქართველოს იუსტიციის უმაღლესი საბჭოს 2020 წლის 31 იანვრის №1 დადგენილებაში ცვლილების შეტანის შესახებ</w:t>
      </w:r>
    </w:p>
    <w:p w:rsidR="007028AE" w:rsidRDefault="007028AE" w:rsidP="00225E22">
      <w:pPr>
        <w:spacing w:after="0" w:line="240" w:lineRule="auto"/>
      </w:pPr>
    </w:p>
    <w:p w:rsidR="00225E22" w:rsidRDefault="00225E22" w:rsidP="00225E22">
      <w:pPr>
        <w:spacing w:after="0" w:line="240" w:lineRule="auto"/>
        <w:ind w:firstLine="720"/>
        <w:rPr>
          <w:rFonts w:ascii="Sylfaen" w:hAnsi="Sylfaen"/>
          <w:b/>
          <w:lang w:val="ka-GE"/>
        </w:rPr>
      </w:pPr>
    </w:p>
    <w:p w:rsidR="007028AE" w:rsidRPr="0030198F" w:rsidRDefault="00127E14" w:rsidP="00225E22">
      <w:pPr>
        <w:spacing w:after="0" w:line="240" w:lineRule="auto"/>
        <w:ind w:firstLine="720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მუხლი</w:t>
      </w:r>
      <w:r w:rsidR="0030198F">
        <w:rPr>
          <w:rFonts w:ascii="Sylfaen" w:hAnsi="Sylfaen"/>
          <w:b/>
          <w:lang w:val="ka-GE"/>
        </w:rPr>
        <w:t xml:space="preserve"> 1</w:t>
      </w:r>
    </w:p>
    <w:p w:rsidR="00D86269" w:rsidRDefault="007028AE" w:rsidP="00D86269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127E14">
        <w:rPr>
          <w:rFonts w:ascii="Sylfaen" w:hAnsi="Sylfaen"/>
        </w:rPr>
        <w:t xml:space="preserve">„ნორმატიული აქტების შესახებ“ საქართველოს ორგანული კანონის მე-20 მუხლის მე-4 პუნქტის შესაბამისად, „საქართველოს იუსტიციის უმაღლესი საბჭოს ზოგიერთი გადაწყვეტილების ნორმატიული აქტებისათვის მიკუთვნების თაობაზე“ საქართველოს იუსტიციის უმაღლესი საბჭოს 2020 წლის 31 იანვრის №1 დადგენილებაში (www.matsne.gov.ge, 11/02/2020, სარეგისტრაციო კოდი: 010210060.74.086.016001) შეტანილ იქნეს ცვლილება და დადგენილების დანართი </w:t>
      </w:r>
      <w:r w:rsidR="00D86269" w:rsidRPr="00CD2310">
        <w:rPr>
          <w:rFonts w:ascii="Sylfaen" w:hAnsi="Sylfaen"/>
          <w:lang w:val="ka-GE"/>
        </w:rPr>
        <w:t>29</w:t>
      </w:r>
      <w:r w:rsidR="00D86269" w:rsidRPr="00CD2310">
        <w:rPr>
          <w:rFonts w:ascii="Sylfaen" w:hAnsi="Sylfaen"/>
        </w:rPr>
        <w:t xml:space="preserve">-ით დამტკიცებული </w:t>
      </w:r>
      <w:r w:rsidR="00D86269" w:rsidRPr="00CD2310">
        <w:rPr>
          <w:rFonts w:ascii="Sylfaen" w:hAnsi="Sylfaen"/>
          <w:lang w:val="ka-GE"/>
        </w:rPr>
        <w:t>„</w:t>
      </w:r>
      <w:r w:rsidR="00D86269" w:rsidRPr="00CD2310">
        <w:rPr>
          <w:rFonts w:ascii="Sylfaen" w:hAnsi="Sylfaen"/>
        </w:rPr>
        <w:t>სასამართლო მედიაციის პროგრამის</w:t>
      </w:r>
      <w:r w:rsidR="00D86269" w:rsidRPr="00CD2310">
        <w:rPr>
          <w:rFonts w:ascii="Sylfaen" w:hAnsi="Sylfaen"/>
          <w:lang w:val="ka-GE"/>
        </w:rPr>
        <w:t>“ მე-7 მუხლის პირველი პუნქტი ჩამოყალიბდეს შემდეგი რედაქციით:</w:t>
      </w:r>
    </w:p>
    <w:p w:rsidR="00D86269" w:rsidRDefault="00D86269" w:rsidP="00D86269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D86269" w:rsidRPr="00D86269" w:rsidRDefault="00D86269" w:rsidP="00D86269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</w:t>
      </w:r>
      <w:r w:rsidRPr="00FB7CA8">
        <w:rPr>
          <w:rFonts w:ascii="Sylfaen" w:hAnsi="Sylfaen"/>
          <w:noProof/>
          <w:lang w:val="ka-GE"/>
        </w:rPr>
        <w:t xml:space="preserve">1. </w:t>
      </w:r>
      <w:r w:rsidRPr="00FB7CA8">
        <w:rPr>
          <w:rFonts w:ascii="Sylfaen" w:hAnsi="Sylfaen"/>
          <w:noProof/>
        </w:rPr>
        <w:t xml:space="preserve">სასამართლო </w:t>
      </w:r>
      <w:r w:rsidRPr="005C21C2">
        <w:rPr>
          <w:rFonts w:ascii="Sylfaen" w:hAnsi="Sylfaen"/>
          <w:noProof/>
          <w:lang w:val="en-GB"/>
        </w:rPr>
        <w:t>მედიაციის</w:t>
      </w:r>
      <w:r w:rsidRPr="00FB7CA8">
        <w:rPr>
          <w:rFonts w:ascii="Sylfaen" w:hAnsi="Sylfaen"/>
          <w:noProof/>
        </w:rPr>
        <w:t xml:space="preserve"> პროცესში მონაწილე მედიატორი ვალდებულია </w:t>
      </w:r>
      <w:r w:rsidRPr="00BA63DD">
        <w:rPr>
          <w:rFonts w:ascii="Sylfaen" w:hAnsi="Sylfaen"/>
          <w:noProof/>
        </w:rPr>
        <w:t xml:space="preserve">ყოველწლიურად </w:t>
      </w:r>
      <w:r>
        <w:rPr>
          <w:rFonts w:ascii="Sylfaen" w:hAnsi="Sylfaen"/>
          <w:noProof/>
          <w:lang w:val="ka-GE"/>
        </w:rPr>
        <w:t>1</w:t>
      </w:r>
      <w:r w:rsidRPr="00BA63DD">
        <w:rPr>
          <w:rFonts w:ascii="Sylfaen" w:hAnsi="Sylfaen"/>
          <w:noProof/>
        </w:rPr>
        <w:t xml:space="preserve"> საქმეზე სასამართლო </w:t>
      </w:r>
      <w:r w:rsidRPr="005C21C2">
        <w:rPr>
          <w:rFonts w:ascii="Sylfaen" w:hAnsi="Sylfaen"/>
          <w:noProof/>
          <w:lang w:val="en-GB"/>
        </w:rPr>
        <w:t>მედიაცია</w:t>
      </w:r>
      <w:r w:rsidRPr="00BA63DD">
        <w:rPr>
          <w:rFonts w:ascii="Sylfaen" w:hAnsi="Sylfaen"/>
          <w:noProof/>
        </w:rPr>
        <w:t xml:space="preserve"> ანაზღაურების გარეშე (Pro Bono) წარმართოს.</w:t>
      </w:r>
    </w:p>
    <w:p w:rsidR="00D86269" w:rsidRDefault="00D86269" w:rsidP="00D86269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D86269" w:rsidRPr="00CD2310" w:rsidRDefault="00D86269" w:rsidP="00D86269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127E14" w:rsidRDefault="00127E14" w:rsidP="00225E22">
      <w:pPr>
        <w:spacing w:after="0" w:line="240" w:lineRule="auto"/>
        <w:ind w:firstLine="720"/>
        <w:jc w:val="both"/>
        <w:rPr>
          <w:rFonts w:ascii="Sylfaen" w:hAnsi="Sylfaen"/>
          <w:b/>
          <w:lang w:val="ka-GE"/>
        </w:rPr>
      </w:pPr>
      <w:r w:rsidRPr="00127E14">
        <w:rPr>
          <w:rFonts w:ascii="Sylfaen" w:hAnsi="Sylfaen"/>
          <w:b/>
          <w:lang w:val="ka-GE"/>
        </w:rPr>
        <w:t>მუხლი</w:t>
      </w:r>
      <w:r w:rsidR="0030198F">
        <w:rPr>
          <w:rFonts w:ascii="Sylfaen" w:hAnsi="Sylfaen"/>
          <w:b/>
          <w:lang w:val="ka-GE"/>
        </w:rPr>
        <w:t xml:space="preserve"> 2</w:t>
      </w:r>
    </w:p>
    <w:p w:rsidR="00127E14" w:rsidRDefault="00127E14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127E14">
        <w:rPr>
          <w:rFonts w:ascii="Sylfaen" w:hAnsi="Sylfaen"/>
          <w:lang w:val="ka-GE"/>
        </w:rPr>
        <w:t>დადგენილება ამოქმედდეს გამოქვეყნებისთანავე.</w:t>
      </w:r>
    </w:p>
    <w:p w:rsidR="00127E14" w:rsidRDefault="00127E14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127E14" w:rsidRDefault="00127E14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127E14" w:rsidRDefault="00127E14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127E14" w:rsidRDefault="00127E14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ნიკოლოზ მარსაგიშვილი</w:t>
      </w:r>
    </w:p>
    <w:p w:rsidR="00225E22" w:rsidRDefault="00225E22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127E14" w:rsidRDefault="00127E14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საქართველოს იუსტიციის</w:t>
      </w:r>
    </w:p>
    <w:p w:rsidR="00127E14" w:rsidRPr="0090097E" w:rsidRDefault="00127E14" w:rsidP="00225E22">
      <w:pPr>
        <w:spacing w:after="0" w:line="240" w:lineRule="auto"/>
        <w:ind w:firstLine="72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უმაღლესი საბჭოს მდივანი</w:t>
      </w:r>
      <w:r w:rsidR="0090097E">
        <w:rPr>
          <w:rFonts w:ascii="Sylfaen" w:hAnsi="Sylfaen"/>
        </w:rPr>
        <w:t xml:space="preserve"> </w:t>
      </w:r>
    </w:p>
    <w:p w:rsidR="00127E14" w:rsidRDefault="00127E14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127E14" w:rsidRDefault="00127E14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507851" w:rsidRDefault="00507851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507851" w:rsidRDefault="00507851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507851" w:rsidRDefault="00507851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507851" w:rsidRDefault="00507851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507851" w:rsidRDefault="00507851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507851" w:rsidRDefault="00507851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507851" w:rsidRDefault="00507851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507851" w:rsidRDefault="00507851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507851" w:rsidRDefault="00507851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225E22" w:rsidRDefault="00225E22" w:rsidP="00225E22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25E22" w:rsidRDefault="00225E22" w:rsidP="00225E22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25E22" w:rsidRDefault="00225E22" w:rsidP="00225E22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25E22" w:rsidRDefault="00225E22" w:rsidP="00225E22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25E22" w:rsidRDefault="00225E22" w:rsidP="00225E22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507851" w:rsidRDefault="00507851" w:rsidP="00225E22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507851">
        <w:rPr>
          <w:rFonts w:ascii="Sylfaen" w:hAnsi="Sylfaen"/>
          <w:b/>
          <w:lang w:val="ka-GE"/>
        </w:rPr>
        <w:lastRenderedPageBreak/>
        <w:t>განმარტებითი ბარათი</w:t>
      </w:r>
    </w:p>
    <w:p w:rsidR="009C7BD0" w:rsidRPr="00507851" w:rsidRDefault="009C7BD0" w:rsidP="00225E22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9C7BD0" w:rsidRDefault="00507851" w:rsidP="00225E22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  <w:r w:rsidRPr="00507851">
        <w:rPr>
          <w:rFonts w:ascii="Sylfaen" w:hAnsi="Sylfaen" w:cstheme="minorHAnsi"/>
          <w:b/>
          <w:lang w:val="ka-GE"/>
        </w:rPr>
        <w:t xml:space="preserve">„საქართველოს იუსტიციის უმაღლესი საბჭოს ზოგიერთი გადაწყვეტილების </w:t>
      </w:r>
    </w:p>
    <w:p w:rsidR="00507851" w:rsidRPr="00507851" w:rsidRDefault="00507851" w:rsidP="00225E22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  <w:r w:rsidRPr="00507851">
        <w:rPr>
          <w:rFonts w:ascii="Sylfaen" w:hAnsi="Sylfaen" w:cstheme="minorHAnsi"/>
          <w:b/>
          <w:lang w:val="ka-GE"/>
        </w:rPr>
        <w:t>ნორმატიული აქტებისათვის მიკუთვნების თაობაზე“ საქართველოს იუსტიციის უმაღლესი საბჭოს 2020 წლის 31 იანვრის №1 დადგენილებაში ცვლილების შეტანის თაობაზე“</w:t>
      </w:r>
    </w:p>
    <w:p w:rsidR="00507851" w:rsidRPr="00507851" w:rsidRDefault="00507851" w:rsidP="00225E22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507851">
        <w:rPr>
          <w:rFonts w:ascii="Sylfaen" w:hAnsi="Sylfaen"/>
          <w:b/>
          <w:lang w:val="ka-GE"/>
        </w:rPr>
        <w:t>საქართველოს იუსტიციის უმაღლესი საბჭოს დადგენილებ</w:t>
      </w:r>
      <w:r w:rsidR="009C7BD0">
        <w:rPr>
          <w:rFonts w:ascii="Sylfaen" w:hAnsi="Sylfaen"/>
          <w:b/>
          <w:lang w:val="ka-GE"/>
        </w:rPr>
        <w:t xml:space="preserve">ის </w:t>
      </w:r>
      <w:r w:rsidRPr="00507851">
        <w:rPr>
          <w:rFonts w:ascii="Sylfaen" w:hAnsi="Sylfaen"/>
          <w:b/>
          <w:lang w:val="ka-GE"/>
        </w:rPr>
        <w:t>პროექტზე</w:t>
      </w:r>
    </w:p>
    <w:p w:rsidR="00507851" w:rsidRDefault="00507851" w:rsidP="00225E22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9C7BD0" w:rsidRPr="00507851" w:rsidRDefault="009C7BD0" w:rsidP="00225E22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507851" w:rsidRPr="00507851" w:rsidRDefault="00507851" w:rsidP="00225E22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507851">
        <w:rPr>
          <w:rFonts w:ascii="Sylfaen" w:hAnsi="Sylfaen"/>
          <w:b/>
          <w:lang w:val="ka-GE"/>
        </w:rPr>
        <w:t xml:space="preserve">პროექტის მიღების (გამოცემის) მიზეზი </w:t>
      </w:r>
    </w:p>
    <w:p w:rsidR="00D86269" w:rsidRPr="00511280" w:rsidRDefault="00D86269" w:rsidP="00D86269">
      <w:pPr>
        <w:spacing w:after="0" w:line="240" w:lineRule="auto"/>
        <w:ind w:firstLine="54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ab/>
        <w:t>პროექტის მიღების მიზეზს წარმოადგენს სასამართლო მედიაციის როგორც დავის გადაწყვეტის ალტერნატიული მეთოდის განვითარების ხელშეწყობა.</w:t>
      </w:r>
      <w:r>
        <w:rPr>
          <w:rFonts w:ascii="Sylfaen" w:hAnsi="Sylfaen"/>
          <w:noProof/>
          <w:lang w:val="ka-GE"/>
        </w:rPr>
        <w:t xml:space="preserve"> </w:t>
      </w:r>
      <w:r w:rsidRPr="00FB7CA8">
        <w:rPr>
          <w:rFonts w:ascii="Sylfaen" w:hAnsi="Sylfaen"/>
          <w:noProof/>
        </w:rPr>
        <w:t xml:space="preserve">სასამართლო </w:t>
      </w:r>
      <w:r w:rsidRPr="005C21C2">
        <w:rPr>
          <w:rFonts w:ascii="Sylfaen" w:hAnsi="Sylfaen"/>
          <w:noProof/>
          <w:lang w:val="en-GB"/>
        </w:rPr>
        <w:t>მედიაციის</w:t>
      </w:r>
      <w:r>
        <w:rPr>
          <w:rFonts w:ascii="Sylfaen" w:hAnsi="Sylfaen"/>
          <w:noProof/>
          <w:lang w:val="ka-GE"/>
        </w:rPr>
        <w:t xml:space="preserve"> პროგრამის მე-7 მუხლის პირველი პუნქტის თანახმად, </w:t>
      </w:r>
      <w:r w:rsidRPr="00FB7CA8">
        <w:rPr>
          <w:rFonts w:ascii="Sylfaen" w:hAnsi="Sylfaen"/>
          <w:noProof/>
        </w:rPr>
        <w:t xml:space="preserve">სასამართლო </w:t>
      </w:r>
      <w:r w:rsidRPr="005C21C2">
        <w:rPr>
          <w:rFonts w:ascii="Sylfaen" w:hAnsi="Sylfaen"/>
          <w:noProof/>
          <w:lang w:val="en-GB"/>
        </w:rPr>
        <w:t>მედიაციის</w:t>
      </w:r>
      <w:r w:rsidRPr="00FB7CA8">
        <w:rPr>
          <w:rFonts w:ascii="Sylfaen" w:hAnsi="Sylfaen"/>
          <w:noProof/>
        </w:rPr>
        <w:t xml:space="preserve"> პროცესში მონაწილე მედიატორი ვალდებულია </w:t>
      </w:r>
      <w:r w:rsidRPr="00BA63DD">
        <w:rPr>
          <w:rFonts w:ascii="Sylfaen" w:hAnsi="Sylfaen"/>
          <w:noProof/>
        </w:rPr>
        <w:t xml:space="preserve">ყოველწლიურად </w:t>
      </w:r>
      <w:r w:rsidRPr="00BA63DD">
        <w:rPr>
          <w:rFonts w:ascii="Sylfaen" w:hAnsi="Sylfaen"/>
          <w:noProof/>
          <w:lang w:val="ka-GE"/>
        </w:rPr>
        <w:t>2</w:t>
      </w:r>
      <w:r w:rsidRPr="00BA63DD">
        <w:rPr>
          <w:rFonts w:ascii="Sylfaen" w:hAnsi="Sylfaen"/>
          <w:noProof/>
        </w:rPr>
        <w:t xml:space="preserve"> საქმეზე სასამართლო </w:t>
      </w:r>
      <w:r w:rsidRPr="005C21C2">
        <w:rPr>
          <w:rFonts w:ascii="Sylfaen" w:hAnsi="Sylfaen"/>
          <w:noProof/>
          <w:lang w:val="en-GB"/>
        </w:rPr>
        <w:t>მედიაცია</w:t>
      </w:r>
      <w:r w:rsidRPr="00BA63DD">
        <w:rPr>
          <w:rFonts w:ascii="Sylfaen" w:hAnsi="Sylfaen"/>
          <w:noProof/>
        </w:rPr>
        <w:t xml:space="preserve"> ანაზღაურების გარეშე (Pro Bono) წარმართოს.</w:t>
      </w:r>
      <w:r>
        <w:rPr>
          <w:rFonts w:ascii="Sylfaen" w:hAnsi="Sylfaen"/>
          <w:noProof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სასამართლოს მიერ სასამართლო მედიაციისათვის გადაცემულ საქმეთა რაოდენობის გათვალისწინებით შეიძლება მედიატორს ყოველწლიურად არ მოუწიოს</w:t>
      </w:r>
      <w:r>
        <w:rPr>
          <w:rFonts w:ascii="Sylfaen" w:hAnsi="Sylfaen"/>
          <w:noProof/>
          <w:lang w:val="ka-GE"/>
        </w:rPr>
        <w:t xml:space="preserve"> ორზე </w:t>
      </w:r>
      <w:r>
        <w:rPr>
          <w:rFonts w:ascii="Sylfaen" w:hAnsi="Sylfaen"/>
          <w:noProof/>
          <w:lang w:val="ka-GE"/>
        </w:rPr>
        <w:t xml:space="preserve">მეტ საქმეზე სასამართლო მედიაციის წარმართვა. </w:t>
      </w:r>
      <w:r w:rsidR="004A7024">
        <w:rPr>
          <w:rFonts w:ascii="Sylfaen" w:hAnsi="Sylfaen"/>
          <w:noProof/>
          <w:lang w:val="ka-GE"/>
        </w:rPr>
        <w:t>შესაბამისად, ანაზღაურების გარეშე სასამართლო მედიაციის წარმართვა</w:t>
      </w:r>
      <w:r w:rsidR="00CE2447">
        <w:rPr>
          <w:rFonts w:ascii="Sylfaen" w:hAnsi="Sylfaen"/>
          <w:noProof/>
          <w:lang w:val="ka-GE"/>
        </w:rPr>
        <w:t xml:space="preserve">მ შესაძლებელია გამოიწვიოს მედიატორის მხრიდან მოტივაციის დაკარგვა. აღნიშნულიდან გამომდინარე, </w:t>
      </w:r>
      <w:r>
        <w:rPr>
          <w:rFonts w:ascii="Sylfaen" w:hAnsi="Sylfaen"/>
          <w:noProof/>
          <w:lang w:val="ka-GE"/>
        </w:rPr>
        <w:t>მედიატორთა სტიმულირების მიზნით მიზანშეწონილია</w:t>
      </w:r>
      <w:r w:rsidR="00CE2447">
        <w:rPr>
          <w:rFonts w:ascii="Sylfaen" w:hAnsi="Sylfaen"/>
          <w:noProof/>
          <w:lang w:val="ka-GE"/>
        </w:rPr>
        <w:t xml:space="preserve"> </w:t>
      </w:r>
      <w:bookmarkStart w:id="0" w:name="_GoBack"/>
      <w:bookmarkEnd w:id="0"/>
      <w:r w:rsidR="00F50A6F">
        <w:rPr>
          <w:rFonts w:ascii="Sylfaen" w:hAnsi="Sylfaen"/>
          <w:noProof/>
          <w:lang w:val="ka-GE"/>
        </w:rPr>
        <w:t>ანაზღაურების გარეშე</w:t>
      </w:r>
      <w:r w:rsidR="00F50A6F">
        <w:rPr>
          <w:rFonts w:ascii="Sylfaen" w:hAnsi="Sylfaen"/>
          <w:noProof/>
          <w:lang w:val="ka-GE"/>
        </w:rPr>
        <w:t xml:space="preserve"> წარსამართი </w:t>
      </w:r>
      <w:r>
        <w:rPr>
          <w:rFonts w:ascii="Sylfaen" w:hAnsi="Sylfaen"/>
          <w:noProof/>
          <w:lang w:val="ka-GE"/>
        </w:rPr>
        <w:t>სასამართლო მედიაციის რაოდენობ</w:t>
      </w:r>
      <w:r w:rsidR="00F50A6F">
        <w:rPr>
          <w:rFonts w:ascii="Sylfaen" w:hAnsi="Sylfaen"/>
          <w:noProof/>
          <w:lang w:val="ka-GE"/>
        </w:rPr>
        <w:t>ა შემცირდეს ერთ ს</w:t>
      </w:r>
      <w:r>
        <w:rPr>
          <w:rFonts w:ascii="Sylfaen" w:hAnsi="Sylfaen"/>
          <w:noProof/>
          <w:lang w:val="ka-GE"/>
        </w:rPr>
        <w:t>აქმემდე.</w:t>
      </w:r>
    </w:p>
    <w:p w:rsidR="006D5E3C" w:rsidRDefault="006D5E3C" w:rsidP="00225E22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F50A6F" w:rsidRDefault="00F50A6F" w:rsidP="00FA0A88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507851" w:rsidRPr="00507851" w:rsidRDefault="00507851" w:rsidP="00FA0A88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507851">
        <w:rPr>
          <w:rFonts w:ascii="Sylfaen" w:hAnsi="Sylfaen"/>
          <w:b/>
          <w:lang w:val="ka-GE"/>
        </w:rPr>
        <w:t>პროექტის მიღებით გამოწვეული საფინანსო-ეკონომიკური შედეგების გაანგარიშება</w:t>
      </w:r>
    </w:p>
    <w:p w:rsidR="00507851" w:rsidRPr="00507851" w:rsidRDefault="00507851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507851">
        <w:rPr>
          <w:rFonts w:ascii="Sylfaen" w:hAnsi="Sylfaen"/>
          <w:lang w:val="ka-GE"/>
        </w:rPr>
        <w:t xml:space="preserve">პროექტის მიღება არ გამოიწვევს საქართველოს სახელმწიფო ბიუჯეტიდან დამატებითი ასიგნებების გამოყოფას და გავლენას არ მოახდენს საქართველოს სახელმწიფო ბიუჯეტის საშემოსავლო ნაწილზე, სახელმწიფოსთვის არ წარმოშობს ახალ ფინანსურ ვალდებულებებს. </w:t>
      </w:r>
    </w:p>
    <w:p w:rsidR="00507851" w:rsidRDefault="00507851" w:rsidP="00225E22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0F1D46" w:rsidRPr="00507851" w:rsidRDefault="000F1D46" w:rsidP="00225E22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507851" w:rsidRPr="00507851" w:rsidRDefault="00507851" w:rsidP="00FA0A88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507851">
        <w:rPr>
          <w:rFonts w:ascii="Sylfaen" w:hAnsi="Sylfaen"/>
          <w:b/>
          <w:lang w:val="ka-GE"/>
        </w:rPr>
        <w:t>პროექტის ავტორი და წარმდგენი</w:t>
      </w:r>
    </w:p>
    <w:p w:rsidR="00507851" w:rsidRPr="00507851" w:rsidRDefault="00507851" w:rsidP="00225E2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507851">
        <w:rPr>
          <w:rFonts w:ascii="Sylfaen" w:hAnsi="Sylfaen"/>
          <w:lang w:val="ka-GE"/>
        </w:rPr>
        <w:t>პროექტის ავტორი და წარმდგენია საქართველოს იუსტიციის უმაღლესი საბჭო</w:t>
      </w:r>
      <w:r w:rsidR="00CD46D2">
        <w:rPr>
          <w:rFonts w:ascii="Sylfaen" w:hAnsi="Sylfaen"/>
          <w:lang w:val="ka-GE"/>
        </w:rPr>
        <w:t>.</w:t>
      </w:r>
    </w:p>
    <w:p w:rsidR="00507851" w:rsidRPr="0030198F" w:rsidRDefault="00507851" w:rsidP="00225E22">
      <w:pPr>
        <w:spacing w:after="0" w:line="240" w:lineRule="auto"/>
        <w:ind w:firstLine="720"/>
        <w:jc w:val="both"/>
        <w:rPr>
          <w:rFonts w:ascii="Sylfaen" w:hAnsi="Sylfaen"/>
        </w:rPr>
      </w:pPr>
    </w:p>
    <w:sectPr w:rsidR="00507851" w:rsidRPr="0030198F" w:rsidSect="00225E22">
      <w:pgSz w:w="12240" w:h="15840"/>
      <w:pgMar w:top="1080" w:right="108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AE"/>
    <w:rsid w:val="00001494"/>
    <w:rsid w:val="000F1D46"/>
    <w:rsid w:val="00127E14"/>
    <w:rsid w:val="00225E22"/>
    <w:rsid w:val="0023521E"/>
    <w:rsid w:val="0030198F"/>
    <w:rsid w:val="00491431"/>
    <w:rsid w:val="004A7024"/>
    <w:rsid w:val="00507851"/>
    <w:rsid w:val="006D5E3C"/>
    <w:rsid w:val="007028AE"/>
    <w:rsid w:val="008B6809"/>
    <w:rsid w:val="0090097E"/>
    <w:rsid w:val="009C7BD0"/>
    <w:rsid w:val="00AF76DD"/>
    <w:rsid w:val="00B566C0"/>
    <w:rsid w:val="00CD46D2"/>
    <w:rsid w:val="00CE2447"/>
    <w:rsid w:val="00D86269"/>
    <w:rsid w:val="00F50A6F"/>
    <w:rsid w:val="00FA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Maxatadze</dc:creator>
  <cp:keywords/>
  <dc:description/>
  <cp:lastModifiedBy>Giorgi Pavladze</cp:lastModifiedBy>
  <cp:revision>14</cp:revision>
  <cp:lastPrinted>2021-11-29T13:23:00Z</cp:lastPrinted>
  <dcterms:created xsi:type="dcterms:W3CDTF">2021-07-19T11:54:00Z</dcterms:created>
  <dcterms:modified xsi:type="dcterms:W3CDTF">2021-11-29T13:23:00Z</dcterms:modified>
</cp:coreProperties>
</file>